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85"/>
        <w:gridCol w:w="5098"/>
        <w:gridCol w:w="5085"/>
      </w:tblGrid>
      <w:tr w:rsidR="00CD2F6D" w:rsidRPr="005979B1" w14:paraId="57DE9427" w14:textId="77777777" w:rsidTr="003B4699">
        <w:trPr>
          <w:trHeight w:val="760"/>
          <w:tblHeader/>
        </w:trPr>
        <w:tc>
          <w:tcPr>
            <w:tcW w:w="5085" w:type="dxa"/>
            <w:shd w:val="clear" w:color="auto" w:fill="006B6E"/>
            <w:vAlign w:val="center"/>
          </w:tcPr>
          <w:p w14:paraId="5514EAB8" w14:textId="77FEDC4F" w:rsidR="00CD2F6D" w:rsidRPr="003B4699" w:rsidRDefault="00CD2F6D" w:rsidP="003B4699">
            <w:pPr>
              <w:pStyle w:val="BodyText"/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3B4699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Model WHS </w:t>
            </w:r>
            <w:r w:rsidR="003B4699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r</w:t>
            </w:r>
            <w:r w:rsidRPr="003B4699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egulation</w:t>
            </w:r>
            <w:r w:rsidR="003B4699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B4699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(to be removed)</w:t>
            </w:r>
          </w:p>
        </w:tc>
        <w:tc>
          <w:tcPr>
            <w:tcW w:w="5098" w:type="dxa"/>
            <w:shd w:val="clear" w:color="auto" w:fill="006B6E"/>
            <w:vAlign w:val="center"/>
          </w:tcPr>
          <w:p w14:paraId="4F36C849" w14:textId="31C7EC3D" w:rsidR="00CD2F6D" w:rsidRPr="003B4699" w:rsidRDefault="00CD2F6D" w:rsidP="003B4699">
            <w:pPr>
              <w:pStyle w:val="BodyText"/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3B4699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Comparable DG </w:t>
            </w:r>
            <w:r w:rsidR="003B4699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r</w:t>
            </w:r>
            <w:r w:rsidRPr="003B4699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egulation</w:t>
            </w:r>
          </w:p>
        </w:tc>
        <w:tc>
          <w:tcPr>
            <w:tcW w:w="5085" w:type="dxa"/>
            <w:shd w:val="clear" w:color="auto" w:fill="006B6E"/>
            <w:vAlign w:val="center"/>
          </w:tcPr>
          <w:p w14:paraId="03AE7C2E" w14:textId="763DA2D6" w:rsidR="00CD2F6D" w:rsidRPr="003B4699" w:rsidRDefault="00CD2F6D" w:rsidP="003B4699">
            <w:pPr>
              <w:pStyle w:val="BodyText"/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3B4699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Rationale and/or </w:t>
            </w:r>
            <w:r w:rsidR="003B4699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a</w:t>
            </w:r>
            <w:r w:rsidRPr="003B4699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dditional </w:t>
            </w:r>
            <w:r w:rsidR="003B4699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c</w:t>
            </w:r>
            <w:r w:rsidRPr="003B4699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omments</w:t>
            </w:r>
          </w:p>
        </w:tc>
      </w:tr>
      <w:tr w:rsidR="00CD2F6D" w:rsidRPr="003B4699" w14:paraId="3DD79BB9" w14:textId="77777777" w:rsidTr="003B4699">
        <w:trPr>
          <w:trHeight w:val="484"/>
        </w:trPr>
        <w:tc>
          <w:tcPr>
            <w:tcW w:w="5085" w:type="dxa"/>
          </w:tcPr>
          <w:p w14:paraId="257DC5F9" w14:textId="77777777" w:rsidR="00703145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Reg. 336</w:t>
            </w:r>
          </w:p>
          <w:p w14:paraId="2C1C43AA" w14:textId="15BCD9D3" w:rsidR="00CD2F6D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Restriction on age of person who can supply hazardous chemicals</w:t>
            </w:r>
          </w:p>
        </w:tc>
        <w:tc>
          <w:tcPr>
            <w:tcW w:w="5098" w:type="dxa"/>
          </w:tcPr>
          <w:p w14:paraId="29404B8A" w14:textId="77777777" w:rsidR="00703145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Reg. 80</w:t>
            </w:r>
          </w:p>
          <w:p w14:paraId="1FE4FC7D" w14:textId="0462D6A3" w:rsidR="00CD2F6D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Persons under 15 on sites</w:t>
            </w:r>
          </w:p>
        </w:tc>
        <w:tc>
          <w:tcPr>
            <w:tcW w:w="5085" w:type="dxa"/>
          </w:tcPr>
          <w:p w14:paraId="5C6FD6D7" w14:textId="19DD7525" w:rsidR="00B93E6B" w:rsidRPr="003B4699" w:rsidRDefault="00CD2F6D" w:rsidP="00BB5D05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This is in conflict with D</w:t>
            </w:r>
            <w:r w:rsidR="00BB5D05" w:rsidRPr="003B4699">
              <w:rPr>
                <w:rFonts w:cstheme="minorHAnsi"/>
                <w:sz w:val="20"/>
                <w:szCs w:val="20"/>
              </w:rPr>
              <w:t xml:space="preserve">angerous </w:t>
            </w:r>
            <w:r w:rsidRPr="003B4699">
              <w:rPr>
                <w:rFonts w:cstheme="minorHAnsi"/>
                <w:sz w:val="20"/>
                <w:szCs w:val="20"/>
              </w:rPr>
              <w:t>G</w:t>
            </w:r>
            <w:r w:rsidR="00BB5D05" w:rsidRPr="003B4699">
              <w:rPr>
                <w:rFonts w:cstheme="minorHAnsi"/>
                <w:sz w:val="20"/>
                <w:szCs w:val="20"/>
              </w:rPr>
              <w:t xml:space="preserve">oods Safety (Storage and Handling of Non Explosives) </w:t>
            </w:r>
            <w:r w:rsidRPr="003B4699">
              <w:rPr>
                <w:rFonts w:cstheme="minorHAnsi"/>
                <w:sz w:val="20"/>
                <w:szCs w:val="20"/>
              </w:rPr>
              <w:t>Reg</w:t>
            </w:r>
            <w:r w:rsidR="00BB5D05" w:rsidRPr="003B4699">
              <w:rPr>
                <w:rFonts w:cstheme="minorHAnsi"/>
                <w:sz w:val="20"/>
                <w:szCs w:val="20"/>
              </w:rPr>
              <w:t>ulation</w:t>
            </w:r>
            <w:r w:rsidRPr="003B4699">
              <w:rPr>
                <w:rFonts w:cstheme="minorHAnsi"/>
                <w:sz w:val="20"/>
                <w:szCs w:val="20"/>
              </w:rPr>
              <w:t xml:space="preserve"> 80 that prohibits the handling of any dangerous good by a person under 15 years old, if that person is not supervised by someone 18 years or older.</w:t>
            </w:r>
          </w:p>
          <w:p w14:paraId="2EB70215" w14:textId="7691C02C" w:rsidR="00B93E6B" w:rsidRPr="003B4699" w:rsidRDefault="00B93E6B" w:rsidP="00BB5D05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Regulation 336 is too narrow – focused on just one hazard (flammability) and only in the supply by a minor.</w:t>
            </w:r>
          </w:p>
        </w:tc>
      </w:tr>
      <w:tr w:rsidR="00CD2F6D" w:rsidRPr="003B4699" w14:paraId="4B410764" w14:textId="77777777" w:rsidTr="003B4699">
        <w:trPr>
          <w:trHeight w:val="484"/>
        </w:trPr>
        <w:tc>
          <w:tcPr>
            <w:tcW w:w="5085" w:type="dxa"/>
          </w:tcPr>
          <w:p w14:paraId="251D9918" w14:textId="4AA3D67F" w:rsidR="00703145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Reg. 347</w:t>
            </w:r>
          </w:p>
          <w:p w14:paraId="137DD59C" w14:textId="61567453" w:rsidR="00CD2F6D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Manifest of hazardous chemicals</w:t>
            </w:r>
          </w:p>
        </w:tc>
        <w:tc>
          <w:tcPr>
            <w:tcW w:w="5098" w:type="dxa"/>
          </w:tcPr>
          <w:p w14:paraId="25ECA0BB" w14:textId="77777777" w:rsidR="00703145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Reg. 78</w:t>
            </w:r>
          </w:p>
          <w:p w14:paraId="74D93A71" w14:textId="3CD6FB49" w:rsidR="00CD2F6D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Manifest and dangerous goods site plan</w:t>
            </w:r>
          </w:p>
        </w:tc>
        <w:tc>
          <w:tcPr>
            <w:tcW w:w="5085" w:type="dxa"/>
          </w:tcPr>
          <w:p w14:paraId="5AEF6C80" w14:textId="2D180FD8" w:rsidR="00703145" w:rsidRPr="003B4699" w:rsidRDefault="00CD2F6D" w:rsidP="00703145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Also delete Schedule 11</w:t>
            </w:r>
            <w:r w:rsidR="00BF5752" w:rsidRPr="003B4699">
              <w:rPr>
                <w:rFonts w:cstheme="minorHAnsi"/>
                <w:sz w:val="20"/>
                <w:szCs w:val="20"/>
              </w:rPr>
              <w:t xml:space="preserve"> Placard and manifest quantities</w:t>
            </w:r>
            <w:r w:rsidRPr="003B4699">
              <w:rPr>
                <w:rFonts w:cstheme="minorHAnsi"/>
                <w:sz w:val="20"/>
                <w:szCs w:val="20"/>
              </w:rPr>
              <w:t>.</w:t>
            </w:r>
          </w:p>
          <w:p w14:paraId="78EECE13" w14:textId="098E23C1" w:rsidR="00703145" w:rsidRPr="003B4699" w:rsidRDefault="00CD2F6D" w:rsidP="00703145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 xml:space="preserve">Schedule 11 is in conflict with the current Schedule 1 of </w:t>
            </w:r>
            <w:r w:rsidR="00BB5D05" w:rsidRPr="003B4699">
              <w:rPr>
                <w:rFonts w:cstheme="minorHAnsi"/>
                <w:sz w:val="20"/>
                <w:szCs w:val="20"/>
              </w:rPr>
              <w:t>Dangerous Goods Safety (Storage and Handling of Non Explosives) Regulations 2007</w:t>
            </w:r>
            <w:r w:rsidRPr="003B4699">
              <w:rPr>
                <w:rFonts w:cstheme="minorHAnsi"/>
                <w:sz w:val="20"/>
                <w:szCs w:val="20"/>
              </w:rPr>
              <w:t>.</w:t>
            </w:r>
          </w:p>
          <w:p w14:paraId="4CA4042D" w14:textId="2CFE4ECC" w:rsidR="00CD2F6D" w:rsidRPr="003B4699" w:rsidRDefault="00CD2F6D" w:rsidP="00703145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 xml:space="preserve">Schedule 1 of </w:t>
            </w:r>
            <w:r w:rsidR="00BB5D05" w:rsidRPr="003B4699">
              <w:rPr>
                <w:rFonts w:cstheme="minorHAnsi"/>
                <w:sz w:val="20"/>
                <w:szCs w:val="20"/>
              </w:rPr>
              <w:t>Dangerous Goods Safety (Storage and Handling of Non Explosives) Regulations</w:t>
            </w:r>
            <w:r w:rsidRPr="003B4699">
              <w:rPr>
                <w:rFonts w:cstheme="minorHAnsi"/>
                <w:sz w:val="20"/>
                <w:szCs w:val="20"/>
              </w:rPr>
              <w:t xml:space="preserve"> is used by </w:t>
            </w:r>
            <w:r w:rsidR="00BF5752" w:rsidRPr="003B4699">
              <w:rPr>
                <w:rFonts w:cstheme="minorHAnsi"/>
                <w:sz w:val="20"/>
                <w:szCs w:val="20"/>
              </w:rPr>
              <w:t xml:space="preserve">the </w:t>
            </w:r>
            <w:r w:rsidRPr="003B4699">
              <w:rPr>
                <w:rFonts w:cstheme="minorHAnsi"/>
                <w:sz w:val="20"/>
                <w:szCs w:val="20"/>
              </w:rPr>
              <w:t>D</w:t>
            </w:r>
            <w:r w:rsidR="00BF5752" w:rsidRPr="003B4699">
              <w:rPr>
                <w:rFonts w:cstheme="minorHAnsi"/>
                <w:sz w:val="20"/>
                <w:szCs w:val="20"/>
              </w:rPr>
              <w:t xml:space="preserve">epartment of </w:t>
            </w:r>
            <w:r w:rsidRPr="003B4699">
              <w:rPr>
                <w:rFonts w:cstheme="minorHAnsi"/>
                <w:sz w:val="20"/>
                <w:szCs w:val="20"/>
              </w:rPr>
              <w:t>F</w:t>
            </w:r>
            <w:r w:rsidR="00BF5752" w:rsidRPr="003B4699">
              <w:rPr>
                <w:rFonts w:cstheme="minorHAnsi"/>
                <w:sz w:val="20"/>
                <w:szCs w:val="20"/>
              </w:rPr>
              <w:t xml:space="preserve">ire and </w:t>
            </w:r>
            <w:r w:rsidRPr="003B4699">
              <w:rPr>
                <w:rFonts w:cstheme="minorHAnsi"/>
                <w:sz w:val="20"/>
                <w:szCs w:val="20"/>
              </w:rPr>
              <w:t>E</w:t>
            </w:r>
            <w:r w:rsidR="00BF5752" w:rsidRPr="003B4699">
              <w:rPr>
                <w:rFonts w:cstheme="minorHAnsi"/>
                <w:sz w:val="20"/>
                <w:szCs w:val="20"/>
              </w:rPr>
              <w:t xml:space="preserve">mergency </w:t>
            </w:r>
            <w:r w:rsidRPr="003B4699">
              <w:rPr>
                <w:rFonts w:cstheme="minorHAnsi"/>
                <w:sz w:val="20"/>
                <w:szCs w:val="20"/>
              </w:rPr>
              <w:t>S</w:t>
            </w:r>
            <w:r w:rsidR="00BF5752" w:rsidRPr="003B4699">
              <w:rPr>
                <w:rFonts w:cstheme="minorHAnsi"/>
                <w:sz w:val="20"/>
                <w:szCs w:val="20"/>
              </w:rPr>
              <w:t>ervices</w:t>
            </w:r>
            <w:r w:rsidRPr="003B4699">
              <w:rPr>
                <w:rFonts w:cstheme="minorHAnsi"/>
                <w:sz w:val="20"/>
                <w:szCs w:val="20"/>
              </w:rPr>
              <w:t xml:space="preserve"> and is simple to use and apply compared to the WHS Schedule 11.</w:t>
            </w:r>
          </w:p>
        </w:tc>
      </w:tr>
      <w:tr w:rsidR="00CD2F6D" w:rsidRPr="003B4699" w14:paraId="2C96C36E" w14:textId="77777777" w:rsidTr="003B4699">
        <w:trPr>
          <w:trHeight w:val="484"/>
        </w:trPr>
        <w:tc>
          <w:tcPr>
            <w:tcW w:w="5085" w:type="dxa"/>
          </w:tcPr>
          <w:p w14:paraId="4A1FF73C" w14:textId="03A7A0CB" w:rsidR="00703145" w:rsidRPr="003B4699" w:rsidRDefault="00CD2F6D" w:rsidP="00703145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Reg. 348</w:t>
            </w:r>
          </w:p>
          <w:p w14:paraId="18C56764" w14:textId="1188DA00" w:rsidR="00CD2F6D" w:rsidRPr="003B4699" w:rsidRDefault="00CD2F6D" w:rsidP="00703145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Regulator must be notified if manifest quantities to be exceeded</w:t>
            </w:r>
          </w:p>
        </w:tc>
        <w:tc>
          <w:tcPr>
            <w:tcW w:w="5098" w:type="dxa"/>
          </w:tcPr>
          <w:p w14:paraId="3D913ADC" w14:textId="77777777" w:rsidR="00703145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Reg. 25</w:t>
            </w:r>
          </w:p>
          <w:p w14:paraId="1873EB90" w14:textId="4AB10D60" w:rsidR="00CD2F6D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Certain sites to be licensed (Act s.13)</w:t>
            </w:r>
          </w:p>
        </w:tc>
        <w:tc>
          <w:tcPr>
            <w:tcW w:w="5085" w:type="dxa"/>
          </w:tcPr>
          <w:p w14:paraId="27305991" w14:textId="67241F8C" w:rsidR="00CD2F6D" w:rsidRPr="003B4699" w:rsidRDefault="00CD2F6D" w:rsidP="006A36B0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Also delete Schedule 12</w:t>
            </w:r>
            <w:r w:rsidR="00BF5752" w:rsidRPr="003B4699">
              <w:rPr>
                <w:rFonts w:cstheme="minorHAnsi"/>
                <w:sz w:val="20"/>
                <w:szCs w:val="20"/>
              </w:rPr>
              <w:t xml:space="preserve"> Manifest requirements</w:t>
            </w:r>
            <w:r w:rsidRPr="003B4699">
              <w:rPr>
                <w:rFonts w:cstheme="minorHAnsi"/>
                <w:sz w:val="20"/>
                <w:szCs w:val="20"/>
              </w:rPr>
              <w:t>.</w:t>
            </w:r>
          </w:p>
          <w:p w14:paraId="449E729D" w14:textId="23FD703A" w:rsidR="00CD2F6D" w:rsidRPr="003B4699" w:rsidRDefault="00BB5D05" w:rsidP="006A36B0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Dangerous Goods Safety (Storage and Handling of Non Explosives) Regulation</w:t>
            </w:r>
            <w:r w:rsidR="00CD2F6D" w:rsidRPr="003B4699">
              <w:rPr>
                <w:rFonts w:cstheme="minorHAnsi"/>
                <w:sz w:val="20"/>
                <w:szCs w:val="20"/>
              </w:rPr>
              <w:t xml:space="preserve"> already covers this requirement.</w:t>
            </w:r>
          </w:p>
          <w:p w14:paraId="3220BA45" w14:textId="0D16429D" w:rsidR="00CD2F6D" w:rsidRPr="003B4699" w:rsidRDefault="00CD2F6D" w:rsidP="00B93E6B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D</w:t>
            </w:r>
            <w:r w:rsidR="00BB5D05" w:rsidRPr="003B4699">
              <w:rPr>
                <w:rFonts w:cstheme="minorHAnsi"/>
                <w:sz w:val="20"/>
                <w:szCs w:val="20"/>
              </w:rPr>
              <w:t xml:space="preserve">angerous </w:t>
            </w:r>
            <w:r w:rsidR="00BF5752" w:rsidRPr="003B4699">
              <w:rPr>
                <w:rFonts w:cstheme="minorHAnsi"/>
                <w:sz w:val="20"/>
                <w:szCs w:val="20"/>
              </w:rPr>
              <w:t>g</w:t>
            </w:r>
            <w:r w:rsidR="00BB5D05" w:rsidRPr="003B4699">
              <w:rPr>
                <w:rFonts w:cstheme="minorHAnsi"/>
                <w:sz w:val="20"/>
                <w:szCs w:val="20"/>
              </w:rPr>
              <w:t>oods</w:t>
            </w:r>
            <w:r w:rsidRPr="003B4699">
              <w:rPr>
                <w:rFonts w:cstheme="minorHAnsi"/>
                <w:sz w:val="20"/>
                <w:szCs w:val="20"/>
              </w:rPr>
              <w:t xml:space="preserve"> site licensing applies if </w:t>
            </w:r>
            <w:r w:rsidR="00BF5752" w:rsidRPr="003B4699">
              <w:rPr>
                <w:rFonts w:cstheme="minorHAnsi"/>
                <w:sz w:val="20"/>
                <w:szCs w:val="20"/>
              </w:rPr>
              <w:t xml:space="preserve">a </w:t>
            </w:r>
            <w:r w:rsidRPr="003B4699">
              <w:rPr>
                <w:rFonts w:cstheme="minorHAnsi"/>
                <w:sz w:val="20"/>
                <w:szCs w:val="20"/>
              </w:rPr>
              <w:t xml:space="preserve">site is storing or handling dangerous goods above manifest quantity in Schedule 1 </w:t>
            </w:r>
            <w:r w:rsidR="00BF5752" w:rsidRPr="003B4699">
              <w:rPr>
                <w:rFonts w:cstheme="minorHAnsi"/>
                <w:sz w:val="20"/>
                <w:szCs w:val="20"/>
              </w:rPr>
              <w:t>of the Dangerous Goods Safety (Storage and Handling of Non Explosives) Regulations.</w:t>
            </w:r>
          </w:p>
        </w:tc>
      </w:tr>
      <w:tr w:rsidR="00CD2F6D" w:rsidRPr="003B4699" w14:paraId="388C9A22" w14:textId="77777777" w:rsidTr="003B4699">
        <w:trPr>
          <w:trHeight w:val="484"/>
        </w:trPr>
        <w:tc>
          <w:tcPr>
            <w:tcW w:w="5085" w:type="dxa"/>
          </w:tcPr>
          <w:p w14:paraId="7196CD5A" w14:textId="2FEC93A4" w:rsidR="00703145" w:rsidRPr="003B4699" w:rsidRDefault="00CD2F6D" w:rsidP="00703145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Reg. 349</w:t>
            </w:r>
          </w:p>
          <w:p w14:paraId="2ED42F0D" w14:textId="44D9C63C" w:rsidR="00CD2F6D" w:rsidRPr="003B4699" w:rsidRDefault="00CD2F6D" w:rsidP="00703145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lastRenderedPageBreak/>
              <w:t>Outer Warning placards – requirement to display</w:t>
            </w:r>
          </w:p>
        </w:tc>
        <w:tc>
          <w:tcPr>
            <w:tcW w:w="5098" w:type="dxa"/>
          </w:tcPr>
          <w:p w14:paraId="34BC553C" w14:textId="32E7B95D" w:rsid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lastRenderedPageBreak/>
              <w:t>Reg. 68</w:t>
            </w:r>
          </w:p>
          <w:p w14:paraId="7EBEEB97" w14:textId="3B8573DC" w:rsidR="00703145" w:rsidRPr="003B4699" w:rsidRDefault="003B4699" w:rsidP="003B4699">
            <w:pPr>
              <w:tabs>
                <w:tab w:val="left" w:pos="3180"/>
              </w:tabs>
            </w:pPr>
            <w:r>
              <w:tab/>
            </w:r>
          </w:p>
          <w:p w14:paraId="19B27B8E" w14:textId="759B2BD0" w:rsidR="00CD2F6D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lastRenderedPageBreak/>
              <w:t>HAZCHEM placards, when and where required</w:t>
            </w:r>
          </w:p>
        </w:tc>
        <w:tc>
          <w:tcPr>
            <w:tcW w:w="5085" w:type="dxa"/>
          </w:tcPr>
          <w:p w14:paraId="6F3AA9AF" w14:textId="788F6130" w:rsidR="00CD2F6D" w:rsidRPr="003B4699" w:rsidRDefault="00CD2F6D" w:rsidP="00A60659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lastRenderedPageBreak/>
              <w:t>Also delete Schedule 13</w:t>
            </w:r>
            <w:r w:rsidR="00BF5752" w:rsidRPr="003B4699">
              <w:rPr>
                <w:rFonts w:cstheme="minorHAnsi"/>
                <w:sz w:val="20"/>
                <w:szCs w:val="20"/>
              </w:rPr>
              <w:t xml:space="preserve"> Placard requirements</w:t>
            </w:r>
            <w:r w:rsidRPr="003B469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D2F6D" w:rsidRPr="003B4699" w14:paraId="6C43BA67" w14:textId="77777777" w:rsidTr="003B4699">
        <w:trPr>
          <w:trHeight w:val="484"/>
        </w:trPr>
        <w:tc>
          <w:tcPr>
            <w:tcW w:w="5085" w:type="dxa"/>
          </w:tcPr>
          <w:p w14:paraId="10F2C4B6" w14:textId="48FD0731" w:rsidR="00703145" w:rsidRPr="003B4699" w:rsidRDefault="00CD2F6D" w:rsidP="00703145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Reg. 350</w:t>
            </w:r>
          </w:p>
          <w:p w14:paraId="0501D210" w14:textId="340723BC" w:rsidR="00CD2F6D" w:rsidRPr="003B4699" w:rsidRDefault="00CD2F6D" w:rsidP="00703145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Placard - requirement to display</w:t>
            </w:r>
          </w:p>
        </w:tc>
        <w:tc>
          <w:tcPr>
            <w:tcW w:w="5098" w:type="dxa"/>
          </w:tcPr>
          <w:p w14:paraId="40D658A3" w14:textId="77777777" w:rsidR="00703145" w:rsidRPr="003B4699" w:rsidRDefault="00CD2F6D" w:rsidP="00236692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Reg. 69 – 72</w:t>
            </w:r>
          </w:p>
          <w:p w14:paraId="20C7CACF" w14:textId="531303ED" w:rsidR="00CD2F6D" w:rsidRPr="003B4699" w:rsidRDefault="00703145" w:rsidP="00703145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P</w:t>
            </w:r>
            <w:r w:rsidR="00CD2F6D" w:rsidRPr="003B4699">
              <w:rPr>
                <w:rFonts w:cstheme="minorHAnsi"/>
                <w:sz w:val="20"/>
                <w:szCs w:val="20"/>
              </w:rPr>
              <w:t>lacarding requirements</w:t>
            </w:r>
          </w:p>
        </w:tc>
        <w:tc>
          <w:tcPr>
            <w:tcW w:w="5085" w:type="dxa"/>
          </w:tcPr>
          <w:p w14:paraId="2BBC277D" w14:textId="04E8560D" w:rsidR="00CD2F6D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Also delete Schedule 13</w:t>
            </w:r>
            <w:r w:rsidR="00BF5752" w:rsidRPr="003B4699">
              <w:rPr>
                <w:rFonts w:cstheme="minorHAnsi"/>
                <w:sz w:val="20"/>
                <w:szCs w:val="20"/>
              </w:rPr>
              <w:t xml:space="preserve"> Placard requirements</w:t>
            </w:r>
            <w:r w:rsidRPr="003B469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D2F6D" w:rsidRPr="003B4699" w14:paraId="23E4D751" w14:textId="77777777" w:rsidTr="003B4699">
        <w:trPr>
          <w:trHeight w:val="484"/>
        </w:trPr>
        <w:tc>
          <w:tcPr>
            <w:tcW w:w="5085" w:type="dxa"/>
          </w:tcPr>
          <w:p w14:paraId="3534B2FE" w14:textId="3B4DB08E" w:rsidR="00703145" w:rsidRPr="003B4699" w:rsidRDefault="00CD2F6D" w:rsidP="00703145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Reg. 354</w:t>
            </w:r>
          </w:p>
          <w:p w14:paraId="7D52F301" w14:textId="58A46147" w:rsidR="00CD2F6D" w:rsidRPr="003B4699" w:rsidRDefault="00CD2F6D" w:rsidP="00703145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Identification of risk of physical or chemical reaction</w:t>
            </w:r>
          </w:p>
        </w:tc>
        <w:tc>
          <w:tcPr>
            <w:tcW w:w="5098" w:type="dxa"/>
          </w:tcPr>
          <w:p w14:paraId="0F76BBD4" w14:textId="77777777" w:rsidR="00703145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Reg. 48</w:t>
            </w:r>
          </w:p>
          <w:p w14:paraId="55318D1C" w14:textId="6403BACC" w:rsidR="00CD2F6D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Risk assessment, requirements as to</w:t>
            </w:r>
          </w:p>
        </w:tc>
        <w:tc>
          <w:tcPr>
            <w:tcW w:w="5085" w:type="dxa"/>
          </w:tcPr>
          <w:p w14:paraId="6EBD7440" w14:textId="0F40E3A8" w:rsidR="00B93E6B" w:rsidRPr="003B4699" w:rsidRDefault="00B93E6B" w:rsidP="00AB71A9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Dangerous Goods Safety (Storage and Handling of Non Explosives) Regulation 48 already covers this requirement.</w:t>
            </w:r>
          </w:p>
          <w:p w14:paraId="68FF441C" w14:textId="55D5AAC0" w:rsidR="00CD2F6D" w:rsidRPr="003B4699" w:rsidRDefault="00BF5752" w:rsidP="00AB71A9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 xml:space="preserve">This regulation </w:t>
            </w:r>
            <w:r w:rsidR="00CD2F6D" w:rsidRPr="003B4699">
              <w:rPr>
                <w:rFonts w:cstheme="minorHAnsi"/>
                <w:sz w:val="20"/>
                <w:szCs w:val="20"/>
              </w:rPr>
              <w:t xml:space="preserve">is </w:t>
            </w:r>
            <w:r w:rsidR="00B93E6B" w:rsidRPr="003B4699">
              <w:rPr>
                <w:rFonts w:cstheme="minorHAnsi"/>
                <w:sz w:val="20"/>
                <w:szCs w:val="20"/>
              </w:rPr>
              <w:t xml:space="preserve">already </w:t>
            </w:r>
            <w:r w:rsidR="00CD2F6D" w:rsidRPr="003B4699">
              <w:rPr>
                <w:rFonts w:cstheme="minorHAnsi"/>
                <w:sz w:val="20"/>
                <w:szCs w:val="20"/>
              </w:rPr>
              <w:t>covered by the general risk management requirements of Part 3.1 (specifically Reg. 34 &amp; 35) of the WHS Reg</w:t>
            </w:r>
            <w:r w:rsidRPr="003B4699">
              <w:rPr>
                <w:rFonts w:cstheme="minorHAnsi"/>
                <w:sz w:val="20"/>
                <w:szCs w:val="20"/>
              </w:rPr>
              <w:t>ulation</w:t>
            </w:r>
            <w:r w:rsidR="00CD2F6D" w:rsidRPr="003B4699">
              <w:rPr>
                <w:rFonts w:cstheme="minorHAnsi"/>
                <w:sz w:val="20"/>
                <w:szCs w:val="20"/>
              </w:rPr>
              <w:t>s.</w:t>
            </w:r>
          </w:p>
        </w:tc>
      </w:tr>
      <w:tr w:rsidR="00CD2F6D" w:rsidRPr="003B4699" w14:paraId="6BE8F07D" w14:textId="77777777" w:rsidTr="003B4699">
        <w:trPr>
          <w:trHeight w:val="484"/>
        </w:trPr>
        <w:tc>
          <w:tcPr>
            <w:tcW w:w="5085" w:type="dxa"/>
          </w:tcPr>
          <w:p w14:paraId="42C80A50" w14:textId="53860229" w:rsidR="00703145" w:rsidRPr="003B4699" w:rsidRDefault="00CD2F6D" w:rsidP="00703145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Reg. 361</w:t>
            </w:r>
          </w:p>
          <w:p w14:paraId="630C2674" w14:textId="4CA721C9" w:rsidR="00CD2F6D" w:rsidRPr="003B4699" w:rsidRDefault="00CD2F6D" w:rsidP="00703145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Emergency plans</w:t>
            </w:r>
          </w:p>
        </w:tc>
        <w:tc>
          <w:tcPr>
            <w:tcW w:w="5098" w:type="dxa"/>
          </w:tcPr>
          <w:p w14:paraId="11D585C2" w14:textId="77777777" w:rsidR="00703145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Reg. 75</w:t>
            </w:r>
          </w:p>
          <w:p w14:paraId="0AE91871" w14:textId="28EB6993" w:rsidR="00CD2F6D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Emergency plan required for some sites</w:t>
            </w:r>
          </w:p>
        </w:tc>
        <w:tc>
          <w:tcPr>
            <w:tcW w:w="5085" w:type="dxa"/>
          </w:tcPr>
          <w:p w14:paraId="2B5B62C5" w14:textId="485FC7EB" w:rsidR="00CD2F6D" w:rsidRPr="003B4699" w:rsidRDefault="00BB5D05" w:rsidP="00632267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Dangerous Goods Safety (Storage and Handling of Non Explosives) Regulation</w:t>
            </w:r>
            <w:r w:rsidR="00CD2F6D" w:rsidRPr="003B4699">
              <w:rPr>
                <w:rFonts w:cstheme="minorHAnsi"/>
                <w:sz w:val="20"/>
                <w:szCs w:val="20"/>
              </w:rPr>
              <w:t xml:space="preserve"> 75 already covers this requirement</w:t>
            </w:r>
            <w:r w:rsidR="00B93E6B" w:rsidRPr="003B469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D2F6D" w:rsidRPr="003B4699" w14:paraId="112DD490" w14:textId="77777777" w:rsidTr="003B4699">
        <w:trPr>
          <w:trHeight w:val="484"/>
        </w:trPr>
        <w:tc>
          <w:tcPr>
            <w:tcW w:w="5085" w:type="dxa"/>
          </w:tcPr>
          <w:p w14:paraId="574D1BEA" w14:textId="42DAC14E" w:rsidR="00703145" w:rsidRPr="003B4699" w:rsidRDefault="00CD2F6D" w:rsidP="00703145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Reg. 364</w:t>
            </w:r>
          </w:p>
          <w:p w14:paraId="433B6864" w14:textId="5E3CA32F" w:rsidR="00CD2F6D" w:rsidRPr="003B4699" w:rsidRDefault="00CD2F6D" w:rsidP="00703145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Containers for hazardous chemicals used, handled and stored in bulk</w:t>
            </w:r>
          </w:p>
        </w:tc>
        <w:tc>
          <w:tcPr>
            <w:tcW w:w="5098" w:type="dxa"/>
          </w:tcPr>
          <w:p w14:paraId="329F6642" w14:textId="77777777" w:rsidR="00703145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Reg. 61</w:t>
            </w:r>
          </w:p>
          <w:p w14:paraId="530D4D0B" w14:textId="53F4B179" w:rsidR="00CD2F6D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Bulk dangerous goods not in IBCs, requirements as to</w:t>
            </w:r>
          </w:p>
        </w:tc>
        <w:tc>
          <w:tcPr>
            <w:tcW w:w="5085" w:type="dxa"/>
          </w:tcPr>
          <w:p w14:paraId="40517CCE" w14:textId="5693ADD0" w:rsidR="00CD2F6D" w:rsidRPr="003B4699" w:rsidRDefault="00CD2F6D" w:rsidP="004C422C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 xml:space="preserve">WHS Reg. 363 and </w:t>
            </w:r>
            <w:r w:rsidR="00BB5D05" w:rsidRPr="003B4699">
              <w:rPr>
                <w:rFonts w:cstheme="minorHAnsi"/>
                <w:sz w:val="20"/>
                <w:szCs w:val="20"/>
              </w:rPr>
              <w:t>Dangerous Goods Safety (Storage and Handling of Non Explosives) Regulation</w:t>
            </w:r>
            <w:r w:rsidR="00BB5D05" w:rsidRPr="003B4699" w:rsidDel="00BB5D05">
              <w:rPr>
                <w:rFonts w:cstheme="minorHAnsi"/>
                <w:sz w:val="20"/>
                <w:szCs w:val="20"/>
              </w:rPr>
              <w:t xml:space="preserve"> </w:t>
            </w:r>
            <w:r w:rsidRPr="003B4699">
              <w:rPr>
                <w:rFonts w:cstheme="minorHAnsi"/>
                <w:sz w:val="20"/>
                <w:szCs w:val="20"/>
              </w:rPr>
              <w:t>61 already covers this requirement</w:t>
            </w:r>
            <w:r w:rsidR="00B93E6B" w:rsidRPr="003B469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D2F6D" w:rsidRPr="003B4699" w14:paraId="3A0BFE7D" w14:textId="77777777" w:rsidTr="003B4699">
        <w:trPr>
          <w:trHeight w:val="484"/>
        </w:trPr>
        <w:tc>
          <w:tcPr>
            <w:tcW w:w="5085" w:type="dxa"/>
          </w:tcPr>
          <w:p w14:paraId="455531B3" w14:textId="30C02AB1" w:rsidR="00703145" w:rsidRPr="003B4699" w:rsidRDefault="00CD2F6D" w:rsidP="002344E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Reg. 366</w:t>
            </w:r>
          </w:p>
          <w:p w14:paraId="49354757" w14:textId="21794B94" w:rsidR="00CD2F6D" w:rsidRPr="003B4699" w:rsidRDefault="00CD2F6D" w:rsidP="002344E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Stopping use of underground storage and handling systems</w:t>
            </w:r>
          </w:p>
          <w:p w14:paraId="0027EDE4" w14:textId="6B65FDB4" w:rsidR="00CD2F6D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98" w:type="dxa"/>
          </w:tcPr>
          <w:p w14:paraId="3F9E6EB4" w14:textId="77777777" w:rsidR="00703145" w:rsidRPr="003B4699" w:rsidRDefault="00CD2F6D" w:rsidP="00632267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Reg. 62</w:t>
            </w:r>
          </w:p>
          <w:p w14:paraId="758203CE" w14:textId="0750C091" w:rsidR="00CD2F6D" w:rsidRPr="003B4699" w:rsidRDefault="00CD2F6D" w:rsidP="00632267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Underground storage or handling systems for Class 3 dangerous goods and petroleum products, requirements for</w:t>
            </w:r>
          </w:p>
          <w:p w14:paraId="3C38F4FD" w14:textId="77777777" w:rsidR="00703145" w:rsidRPr="003B4699" w:rsidRDefault="00CD2F6D" w:rsidP="00632267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Reg. 63</w:t>
            </w:r>
          </w:p>
          <w:p w14:paraId="59DB9A3C" w14:textId="529187B8" w:rsidR="00CD2F6D" w:rsidRPr="003B4699" w:rsidRDefault="00CD2F6D" w:rsidP="00632267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Decommissioned storage or handling systems to be cleaned etc.</w:t>
            </w:r>
          </w:p>
        </w:tc>
        <w:tc>
          <w:tcPr>
            <w:tcW w:w="5085" w:type="dxa"/>
          </w:tcPr>
          <w:p w14:paraId="47CA6185" w14:textId="439A477C" w:rsidR="00CD2F6D" w:rsidRPr="003B4699" w:rsidRDefault="00BB5D05" w:rsidP="00BB5D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Dangerous Goods Safety (Storage and Handling of Non Explosives) Regulation</w:t>
            </w:r>
            <w:r w:rsidR="00CD2F6D" w:rsidRPr="003B4699">
              <w:rPr>
                <w:rFonts w:cstheme="minorHAnsi"/>
                <w:sz w:val="20"/>
                <w:szCs w:val="20"/>
              </w:rPr>
              <w:t xml:space="preserve"> 62 and 63 already covers this requirement.</w:t>
            </w:r>
          </w:p>
        </w:tc>
      </w:tr>
      <w:tr w:rsidR="00CD2F6D" w:rsidRPr="003B4699" w14:paraId="6BE8D85C" w14:textId="77777777" w:rsidTr="003B4699">
        <w:trPr>
          <w:trHeight w:val="484"/>
        </w:trPr>
        <w:tc>
          <w:tcPr>
            <w:tcW w:w="5085" w:type="dxa"/>
          </w:tcPr>
          <w:p w14:paraId="7C5A02C4" w14:textId="77777777" w:rsidR="00CD2F6D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Reg. 367</w:t>
            </w:r>
          </w:p>
          <w:p w14:paraId="792ECCB6" w14:textId="10ED34EE" w:rsidR="00CD2F6D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Notification of abandoned tank</w:t>
            </w:r>
          </w:p>
        </w:tc>
        <w:tc>
          <w:tcPr>
            <w:tcW w:w="5098" w:type="dxa"/>
          </w:tcPr>
          <w:p w14:paraId="56E0B356" w14:textId="77777777" w:rsidR="00CD2F6D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5" w:type="dxa"/>
          </w:tcPr>
          <w:p w14:paraId="054CBC84" w14:textId="766EAFC1" w:rsidR="00CD2F6D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As above</w:t>
            </w:r>
            <w:r w:rsidR="00B93E6B" w:rsidRPr="003B469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D2F6D" w:rsidRPr="003B4699" w14:paraId="1B5C6EB3" w14:textId="77777777" w:rsidTr="003B4699">
        <w:trPr>
          <w:trHeight w:val="484"/>
        </w:trPr>
        <w:tc>
          <w:tcPr>
            <w:tcW w:w="5085" w:type="dxa"/>
          </w:tcPr>
          <w:p w14:paraId="720ADFF5" w14:textId="58CE5CFD" w:rsidR="00703145" w:rsidRPr="003B4699" w:rsidRDefault="00CD2F6D" w:rsidP="00703145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lastRenderedPageBreak/>
              <w:t>Reg. 389</w:t>
            </w:r>
          </w:p>
          <w:p w14:paraId="5EC13B67" w14:textId="7D9FAF09" w:rsidR="00CD2F6D" w:rsidRPr="003B4699" w:rsidRDefault="00CD2F6D" w:rsidP="00703145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Management of risk by pipeline owner</w:t>
            </w:r>
          </w:p>
        </w:tc>
        <w:tc>
          <w:tcPr>
            <w:tcW w:w="5098" w:type="dxa"/>
          </w:tcPr>
          <w:p w14:paraId="5B210001" w14:textId="736E0E58" w:rsidR="00B93E6B" w:rsidRPr="003B4699" w:rsidRDefault="00B93E6B" w:rsidP="00236692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Part 5 Dangerous goods pipelines</w:t>
            </w:r>
          </w:p>
          <w:p w14:paraId="3E8FDE93" w14:textId="1E6F9772" w:rsidR="00CD2F6D" w:rsidRPr="003B4699" w:rsidRDefault="00B93E6B" w:rsidP="00236692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Regulations 87 to 116.</w:t>
            </w:r>
            <w:r w:rsidR="00CD2F6D" w:rsidRPr="003B4699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5085" w:type="dxa"/>
          </w:tcPr>
          <w:p w14:paraId="1495F277" w14:textId="46E351B5" w:rsidR="00703145" w:rsidRPr="003B4699" w:rsidRDefault="00BB5D05" w:rsidP="002344E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Dangerous Goods Safety (Storage and Handling of Non Explosives) Regulation</w:t>
            </w:r>
            <w:r w:rsidR="00B93E6B" w:rsidRPr="003B4699">
              <w:rPr>
                <w:rFonts w:cstheme="minorHAnsi"/>
                <w:sz w:val="20"/>
                <w:szCs w:val="20"/>
              </w:rPr>
              <w:t>s</w:t>
            </w:r>
            <w:r w:rsidRPr="003B4699" w:rsidDel="00BB5D05">
              <w:rPr>
                <w:rFonts w:cstheme="minorHAnsi"/>
                <w:sz w:val="20"/>
                <w:szCs w:val="20"/>
              </w:rPr>
              <w:t xml:space="preserve"> </w:t>
            </w:r>
            <w:r w:rsidR="00CD2F6D" w:rsidRPr="003B4699">
              <w:rPr>
                <w:rFonts w:cstheme="minorHAnsi"/>
                <w:sz w:val="20"/>
                <w:szCs w:val="20"/>
              </w:rPr>
              <w:t>Part 5 already covers this requirement.</w:t>
            </w:r>
          </w:p>
          <w:p w14:paraId="7F76B88B" w14:textId="0DD3E21C" w:rsidR="00CD2F6D" w:rsidRPr="003B4699" w:rsidRDefault="00CD2F6D" w:rsidP="002344E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 xml:space="preserve">There is also a pipeline registration requirement in the </w:t>
            </w:r>
            <w:r w:rsidR="00B93E6B" w:rsidRPr="003B4699">
              <w:rPr>
                <w:rFonts w:cstheme="minorHAnsi"/>
                <w:sz w:val="20"/>
                <w:szCs w:val="20"/>
              </w:rPr>
              <w:t xml:space="preserve">Dangerous Goods Safety (Storage and Handling of Non Explosives) </w:t>
            </w:r>
            <w:r w:rsidRPr="003B4699">
              <w:rPr>
                <w:rFonts w:cstheme="minorHAnsi"/>
                <w:sz w:val="20"/>
                <w:szCs w:val="20"/>
              </w:rPr>
              <w:t>Regulations.</w:t>
            </w:r>
          </w:p>
          <w:p w14:paraId="305A82E6" w14:textId="3E486F5F" w:rsidR="00CD2F6D" w:rsidRPr="003B4699" w:rsidRDefault="00CD2F6D" w:rsidP="00FD4699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Note: WHS Reg. 328 1 (b) will also need to be removed.</w:t>
            </w:r>
          </w:p>
        </w:tc>
      </w:tr>
      <w:tr w:rsidR="00CD2F6D" w:rsidRPr="003B4699" w14:paraId="3B0F1458" w14:textId="77777777" w:rsidTr="003B4699">
        <w:trPr>
          <w:trHeight w:val="484"/>
        </w:trPr>
        <w:tc>
          <w:tcPr>
            <w:tcW w:w="5085" w:type="dxa"/>
          </w:tcPr>
          <w:p w14:paraId="1E165938" w14:textId="0B8F9909" w:rsidR="00703145" w:rsidRPr="003B4699" w:rsidRDefault="00CD2F6D" w:rsidP="00703145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Reg. 390</w:t>
            </w:r>
          </w:p>
          <w:p w14:paraId="440F84E5" w14:textId="6F3D4F41" w:rsidR="00CD2F6D" w:rsidRPr="003B4699" w:rsidRDefault="00CD2F6D" w:rsidP="00703145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Pipeline builder’s duties</w:t>
            </w:r>
          </w:p>
        </w:tc>
        <w:tc>
          <w:tcPr>
            <w:tcW w:w="5098" w:type="dxa"/>
          </w:tcPr>
          <w:p w14:paraId="5CF5DEE9" w14:textId="77777777" w:rsidR="00CD2F6D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5" w:type="dxa"/>
          </w:tcPr>
          <w:p w14:paraId="5F7588D4" w14:textId="32B2DEA2" w:rsidR="00CD2F6D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As above</w:t>
            </w:r>
            <w:r w:rsidR="00B93E6B" w:rsidRPr="003B469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D2F6D" w:rsidRPr="003B4699" w14:paraId="443D9F4E" w14:textId="77777777" w:rsidTr="003B4699">
        <w:trPr>
          <w:trHeight w:val="970"/>
        </w:trPr>
        <w:tc>
          <w:tcPr>
            <w:tcW w:w="5085" w:type="dxa"/>
          </w:tcPr>
          <w:p w14:paraId="05653E07" w14:textId="5F607643" w:rsidR="00703145" w:rsidRPr="003B4699" w:rsidRDefault="00CD2F6D" w:rsidP="00703145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Reg. 391</w:t>
            </w:r>
          </w:p>
          <w:p w14:paraId="3A981225" w14:textId="79F6A001" w:rsidR="00CD2F6D" w:rsidRPr="003B4699" w:rsidRDefault="00CD2F6D" w:rsidP="00703145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Management of risks to health and safety by pipeline operator</w:t>
            </w:r>
          </w:p>
        </w:tc>
        <w:tc>
          <w:tcPr>
            <w:tcW w:w="5098" w:type="dxa"/>
          </w:tcPr>
          <w:p w14:paraId="5D5272E9" w14:textId="77777777" w:rsidR="00CD2F6D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5" w:type="dxa"/>
          </w:tcPr>
          <w:p w14:paraId="3F0F2CFC" w14:textId="4CE69E81" w:rsidR="00CD2F6D" w:rsidRPr="003B4699" w:rsidRDefault="00CD2F6D" w:rsidP="00860F4E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3B4699">
              <w:rPr>
                <w:rFonts w:cstheme="minorHAnsi"/>
                <w:sz w:val="20"/>
                <w:szCs w:val="20"/>
              </w:rPr>
              <w:t>As above</w:t>
            </w:r>
            <w:r w:rsidR="00B93E6B" w:rsidRPr="003B4699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0B15526C" w14:textId="77777777" w:rsidR="00860F4E" w:rsidRPr="003B4699" w:rsidRDefault="00860F4E" w:rsidP="00860F4E">
      <w:pPr>
        <w:pStyle w:val="BodyText"/>
        <w:rPr>
          <w:rFonts w:cstheme="minorHAnsi"/>
          <w:sz w:val="20"/>
          <w:szCs w:val="20"/>
        </w:rPr>
      </w:pPr>
    </w:p>
    <w:sectPr w:rsidR="00860F4E" w:rsidRPr="003B4699" w:rsidSect="003B46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720" w:right="720" w:bottom="720" w:left="720" w:header="709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F540A" w14:textId="77777777" w:rsidR="00B524F1" w:rsidRDefault="00B524F1" w:rsidP="00A4382C">
      <w:pPr>
        <w:spacing w:line="240" w:lineRule="auto"/>
      </w:pPr>
      <w:r>
        <w:separator/>
      </w:r>
    </w:p>
  </w:endnote>
  <w:endnote w:type="continuationSeparator" w:id="0">
    <w:p w14:paraId="46753BA7" w14:textId="77777777" w:rsidR="00B524F1" w:rsidRDefault="00B524F1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4D73" w14:textId="77777777" w:rsidR="007C4068" w:rsidRDefault="007C4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51DDA" w14:textId="323DAEF8" w:rsidR="00CC5FB3" w:rsidRPr="00CC5FB3" w:rsidRDefault="00B524F1" w:rsidP="00CC5FB3">
    <w:pPr>
      <w:pStyle w:val="Footer"/>
      <w:rPr>
        <w:szCs w:val="16"/>
      </w:rPr>
    </w:pPr>
    <w:sdt>
      <w:sdtPr>
        <w:rPr>
          <w:szCs w:val="16"/>
        </w:rPr>
        <w:alias w:val="Title"/>
        <w:tag w:val=""/>
        <w:id w:val="439411372"/>
        <w:placeholder>
          <w:docPart w:val="59365FED6EA3485C994E774177CB834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57997">
          <w:rPr>
            <w:szCs w:val="16"/>
          </w:rPr>
          <w:t>7. Proposed deletions in WA to remove overlap with DGSA</w:t>
        </w:r>
      </w:sdtContent>
    </w:sdt>
    <w:r w:rsidR="003B4699">
      <w:rPr>
        <w:szCs w:val="16"/>
      </w:rPr>
      <w:t xml:space="preserve"> </w:t>
    </w:r>
    <w:r w:rsidR="003B4699">
      <w:rPr>
        <w:szCs w:val="16"/>
      </w:rPr>
      <w:tab/>
    </w:r>
    <w:r w:rsidR="003B4699">
      <w:rPr>
        <w:szCs w:val="16"/>
      </w:rPr>
      <w:tab/>
    </w:r>
    <w:r w:rsidR="003B4699">
      <w:rPr>
        <w:szCs w:val="16"/>
      </w:rPr>
      <w:tab/>
    </w:r>
    <w:r w:rsidR="003B4699">
      <w:rPr>
        <w:szCs w:val="16"/>
      </w:rPr>
      <w:tab/>
    </w:r>
    <w:r w:rsidR="003B4699">
      <w:rPr>
        <w:szCs w:val="16"/>
      </w:rPr>
      <w:tab/>
    </w:r>
    <w:r w:rsidR="003B4699">
      <w:rPr>
        <w:szCs w:val="16"/>
      </w:rPr>
      <w:tab/>
    </w:r>
    <w:r w:rsidR="003B4699">
      <w:rPr>
        <w:szCs w:val="16"/>
      </w:rPr>
      <w:tab/>
    </w:r>
    <w:r w:rsidR="003B4699">
      <w:rPr>
        <w:szCs w:val="16"/>
      </w:rPr>
      <w:tab/>
    </w:r>
    <w:r w:rsidR="003B4699">
      <w:rPr>
        <w:szCs w:val="16"/>
      </w:rPr>
      <w:tab/>
    </w:r>
    <w:r w:rsidR="003B4699">
      <w:rPr>
        <w:szCs w:val="16"/>
      </w:rPr>
      <w:tab/>
    </w:r>
    <w:r w:rsidR="003B4699">
      <w:rPr>
        <w:szCs w:val="16"/>
      </w:rPr>
      <w:tab/>
    </w:r>
    <w:r w:rsidR="003B4699">
      <w:rPr>
        <w:szCs w:val="16"/>
      </w:rPr>
      <w:tab/>
    </w:r>
    <w:r w:rsidR="003B4699">
      <w:rPr>
        <w:szCs w:val="16"/>
      </w:rPr>
      <w:tab/>
    </w:r>
    <w:r w:rsidR="003B4699">
      <w:rPr>
        <w:szCs w:val="16"/>
      </w:rPr>
      <w:tab/>
    </w:r>
    <w:r w:rsidR="00CC5FB3">
      <w:rPr>
        <w:szCs w:val="16"/>
      </w:rPr>
      <w:t xml:space="preserve">Page </w:t>
    </w:r>
    <w:r w:rsidR="004108AE">
      <w:rPr>
        <w:szCs w:val="16"/>
      </w:rPr>
      <w:fldChar w:fldCharType="begin"/>
    </w:r>
    <w:r w:rsidR="00CC5FB3">
      <w:rPr>
        <w:szCs w:val="16"/>
      </w:rPr>
      <w:instrText xml:space="preserve"> PAGE </w:instrText>
    </w:r>
    <w:r w:rsidR="004108AE">
      <w:rPr>
        <w:szCs w:val="16"/>
      </w:rPr>
      <w:fldChar w:fldCharType="separate"/>
    </w:r>
    <w:r w:rsidR="00557997">
      <w:rPr>
        <w:noProof/>
        <w:szCs w:val="16"/>
      </w:rPr>
      <w:t>2</w:t>
    </w:r>
    <w:r w:rsidR="004108AE">
      <w:rPr>
        <w:szCs w:val="16"/>
      </w:rPr>
      <w:fldChar w:fldCharType="end"/>
    </w:r>
    <w:r w:rsidR="00CC5FB3">
      <w:rPr>
        <w:szCs w:val="16"/>
      </w:rPr>
      <w:t xml:space="preserve"> of </w:t>
    </w:r>
    <w:r w:rsidR="004108AE">
      <w:rPr>
        <w:szCs w:val="16"/>
      </w:rPr>
      <w:fldChar w:fldCharType="begin"/>
    </w:r>
    <w:r w:rsidR="00CC5FB3">
      <w:rPr>
        <w:szCs w:val="16"/>
      </w:rPr>
      <w:instrText xml:space="preserve"> NUMPAGES </w:instrText>
    </w:r>
    <w:r w:rsidR="004108AE">
      <w:rPr>
        <w:szCs w:val="16"/>
      </w:rPr>
      <w:fldChar w:fldCharType="separate"/>
    </w:r>
    <w:r w:rsidR="00557997">
      <w:rPr>
        <w:noProof/>
        <w:szCs w:val="16"/>
      </w:rPr>
      <w:t>3</w:t>
    </w:r>
    <w:r w:rsidR="004108AE">
      <w:rPr>
        <w:szCs w:val="16"/>
      </w:rPr>
      <w:fldChar w:fldCharType="end"/>
    </w:r>
    <w:r w:rsidR="00CC5FB3">
      <w:rPr>
        <w:szCs w:val="16"/>
      </w:rPr>
      <w:tab/>
      <w:t xml:space="preserve"> </w:t>
    </w:r>
    <w:r w:rsidR="00CC5FB3">
      <w:rPr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F0341" w14:textId="4483B0DE"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7C4068">
      <w:rPr>
        <w:noProof/>
        <w:szCs w:val="16"/>
      </w:rPr>
      <w:t>002734.safety.comms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7C4068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7C4068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529839769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 w:lastValue="Departmental Use Only"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6757D" w14:textId="77777777" w:rsidR="00B524F1" w:rsidRDefault="00B524F1" w:rsidP="00A4382C">
      <w:pPr>
        <w:spacing w:line="240" w:lineRule="auto"/>
      </w:pPr>
      <w:r>
        <w:separator/>
      </w:r>
    </w:p>
  </w:footnote>
  <w:footnote w:type="continuationSeparator" w:id="0">
    <w:p w14:paraId="1F176A37" w14:textId="77777777" w:rsidR="00B524F1" w:rsidRDefault="00B524F1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B28CE" w14:textId="77777777" w:rsidR="007C4068" w:rsidRDefault="007C4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503D" w14:textId="5237CDD3" w:rsidR="00817A8B" w:rsidRPr="00E90F41" w:rsidRDefault="00817A8B" w:rsidP="00817A8B">
    <w:pPr>
      <w:pStyle w:val="BodyText"/>
      <w:tabs>
        <w:tab w:val="left" w:pos="3699"/>
        <w:tab w:val="left" w:pos="7391"/>
        <w:tab w:val="left" w:pos="10986"/>
      </w:tabs>
      <w:spacing w:before="120" w:after="120"/>
      <w:ind w:left="113"/>
      <w:jc w:val="center"/>
      <w:rPr>
        <w:rFonts w:cstheme="minorHAnsi"/>
        <w:b/>
        <w:sz w:val="22"/>
        <w:szCs w:val="22"/>
      </w:rPr>
    </w:pPr>
    <w:r w:rsidRPr="00E90F41">
      <w:rPr>
        <w:b/>
        <w:lang w:val="en-US" w:eastAsia="en-AU"/>
      </w:rPr>
      <w:t xml:space="preserve">Proposed deletions in Western Australia to remove overlap with the </w:t>
    </w:r>
    <w:r w:rsidRPr="00E90F41">
      <w:rPr>
        <w:b/>
        <w:i/>
        <w:lang w:val="en-US" w:eastAsia="en-AU"/>
      </w:rPr>
      <w:t>Dangerous Goods Safety Act 2004</w:t>
    </w:r>
  </w:p>
  <w:p w14:paraId="62C907EE" w14:textId="77777777" w:rsidR="00817A8B" w:rsidRPr="00E90F41" w:rsidRDefault="00817A8B" w:rsidP="00817A8B">
    <w:pPr>
      <w:pStyle w:val="BodyText"/>
      <w:tabs>
        <w:tab w:val="left" w:pos="3699"/>
        <w:tab w:val="left" w:pos="7391"/>
        <w:tab w:val="left" w:pos="10986"/>
      </w:tabs>
      <w:spacing w:before="120" w:after="120"/>
      <w:ind w:left="113"/>
      <w:jc w:val="center"/>
      <w:rPr>
        <w:b/>
        <w:lang w:val="en-US" w:eastAsia="en-AU"/>
      </w:rPr>
    </w:pPr>
    <w:r w:rsidRPr="00E90F41">
      <w:rPr>
        <w:b/>
        <w:lang w:val="en-US" w:eastAsia="en-AU"/>
      </w:rPr>
      <w:t xml:space="preserve"> Chapter 7 – Hazardous chemicals of the national model Work Health and Safety </w:t>
    </w:r>
    <w:r>
      <w:rPr>
        <w:b/>
        <w:lang w:val="en-US" w:eastAsia="en-AU"/>
      </w:rPr>
      <w:t xml:space="preserve">(WHS) </w:t>
    </w:r>
    <w:r w:rsidRPr="00E90F41">
      <w:rPr>
        <w:b/>
        <w:lang w:val="en-US" w:eastAsia="en-AU"/>
      </w:rPr>
      <w:t>Regulations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71DEC" w14:textId="77777777" w:rsidR="007C4068" w:rsidRDefault="007C4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1DD"/>
    <w:multiLevelType w:val="hybridMultilevel"/>
    <w:tmpl w:val="4094CD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2" w15:restartNumberingAfterBreak="0">
    <w:nsid w:val="11E247C0"/>
    <w:multiLevelType w:val="hybridMultilevel"/>
    <w:tmpl w:val="B55AD1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47981"/>
    <w:multiLevelType w:val="multilevel"/>
    <w:tmpl w:val="0AA25E70"/>
    <w:numStyleLink w:val="AgencyBullets"/>
  </w:abstractNum>
  <w:abstractNum w:abstractNumId="4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6" w15:restartNumberingAfterBreak="0">
    <w:nsid w:val="40EF60A1"/>
    <w:multiLevelType w:val="multilevel"/>
    <w:tmpl w:val="77DEEFC4"/>
    <w:numStyleLink w:val="AgencyNumbers"/>
  </w:abstractNum>
  <w:abstractNum w:abstractNumId="7" w15:restartNumberingAfterBreak="0">
    <w:nsid w:val="41B20D18"/>
    <w:multiLevelType w:val="multilevel"/>
    <w:tmpl w:val="C4023126"/>
    <w:numStyleLink w:val="AgencyTableBullets"/>
  </w:abstractNum>
  <w:abstractNum w:abstractNumId="8" w15:restartNumberingAfterBreak="0">
    <w:nsid w:val="4474526F"/>
    <w:multiLevelType w:val="multilevel"/>
    <w:tmpl w:val="D5A4B100"/>
    <w:numStyleLink w:val="AgencyTableNumbers"/>
  </w:abstractNum>
  <w:abstractNum w:abstractNumId="9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3"/>
  </w:num>
  <w:num w:numId="10">
    <w:abstractNumId w:val="6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5"/>
  </w:num>
  <w:num w:numId="20">
    <w:abstractNumId w:val="9"/>
  </w:num>
  <w:num w:numId="21">
    <w:abstractNumId w:val="1"/>
  </w:num>
  <w:num w:numId="22">
    <w:abstractNumId w:val="4"/>
  </w:num>
  <w:num w:numId="23">
    <w:abstractNumId w:val="7"/>
  </w:num>
  <w:num w:numId="24">
    <w:abstractNumId w:val="8"/>
  </w:num>
  <w:num w:numId="25">
    <w:abstractNumId w:val="2"/>
  </w:num>
  <w:num w:numId="2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6E"/>
    <w:rsid w:val="00005285"/>
    <w:rsid w:val="0002391E"/>
    <w:rsid w:val="00030161"/>
    <w:rsid w:val="000628DD"/>
    <w:rsid w:val="00070650"/>
    <w:rsid w:val="000733C7"/>
    <w:rsid w:val="00081F4F"/>
    <w:rsid w:val="00087E7C"/>
    <w:rsid w:val="000D6278"/>
    <w:rsid w:val="000F4B54"/>
    <w:rsid w:val="000F722A"/>
    <w:rsid w:val="00101A4E"/>
    <w:rsid w:val="00117846"/>
    <w:rsid w:val="00127A81"/>
    <w:rsid w:val="00136CF0"/>
    <w:rsid w:val="00145B39"/>
    <w:rsid w:val="00150D6F"/>
    <w:rsid w:val="0015286C"/>
    <w:rsid w:val="00157613"/>
    <w:rsid w:val="00161BAC"/>
    <w:rsid w:val="00166F4F"/>
    <w:rsid w:val="001723E2"/>
    <w:rsid w:val="00175B21"/>
    <w:rsid w:val="00182318"/>
    <w:rsid w:val="00184781"/>
    <w:rsid w:val="001853E7"/>
    <w:rsid w:val="001879E1"/>
    <w:rsid w:val="001B22EF"/>
    <w:rsid w:val="001C316F"/>
    <w:rsid w:val="001D2EB0"/>
    <w:rsid w:val="001E38AF"/>
    <w:rsid w:val="001F1168"/>
    <w:rsid w:val="001F7D92"/>
    <w:rsid w:val="00200FC5"/>
    <w:rsid w:val="0021319C"/>
    <w:rsid w:val="00217BF0"/>
    <w:rsid w:val="002344EE"/>
    <w:rsid w:val="00236692"/>
    <w:rsid w:val="002431C9"/>
    <w:rsid w:val="00243F51"/>
    <w:rsid w:val="0024416E"/>
    <w:rsid w:val="002760CB"/>
    <w:rsid w:val="00286B1B"/>
    <w:rsid w:val="002D1DBC"/>
    <w:rsid w:val="002D4783"/>
    <w:rsid w:val="002E7DD3"/>
    <w:rsid w:val="00306FAF"/>
    <w:rsid w:val="00307B64"/>
    <w:rsid w:val="00316310"/>
    <w:rsid w:val="00321C39"/>
    <w:rsid w:val="00327D01"/>
    <w:rsid w:val="0033401D"/>
    <w:rsid w:val="00334E55"/>
    <w:rsid w:val="00351327"/>
    <w:rsid w:val="00361078"/>
    <w:rsid w:val="00371FB3"/>
    <w:rsid w:val="00375984"/>
    <w:rsid w:val="0038356A"/>
    <w:rsid w:val="00383BD8"/>
    <w:rsid w:val="00394ACC"/>
    <w:rsid w:val="003A46DE"/>
    <w:rsid w:val="003B4699"/>
    <w:rsid w:val="003B68D0"/>
    <w:rsid w:val="003B70B9"/>
    <w:rsid w:val="003C48A3"/>
    <w:rsid w:val="003E78C6"/>
    <w:rsid w:val="003F4681"/>
    <w:rsid w:val="003F68F5"/>
    <w:rsid w:val="003F7D47"/>
    <w:rsid w:val="004108AE"/>
    <w:rsid w:val="00440141"/>
    <w:rsid w:val="00440AE9"/>
    <w:rsid w:val="004513DC"/>
    <w:rsid w:val="00490548"/>
    <w:rsid w:val="004C12D6"/>
    <w:rsid w:val="004C3B9E"/>
    <w:rsid w:val="004C422C"/>
    <w:rsid w:val="004E1A22"/>
    <w:rsid w:val="004F0DB8"/>
    <w:rsid w:val="004F6AB4"/>
    <w:rsid w:val="00502D21"/>
    <w:rsid w:val="00502FFE"/>
    <w:rsid w:val="00517B50"/>
    <w:rsid w:val="00521B09"/>
    <w:rsid w:val="00534906"/>
    <w:rsid w:val="00556CD6"/>
    <w:rsid w:val="00557997"/>
    <w:rsid w:val="0056132B"/>
    <w:rsid w:val="00576B3D"/>
    <w:rsid w:val="005979B1"/>
    <w:rsid w:val="005C7F45"/>
    <w:rsid w:val="0061353D"/>
    <w:rsid w:val="00627637"/>
    <w:rsid w:val="00632267"/>
    <w:rsid w:val="00664B55"/>
    <w:rsid w:val="0067344D"/>
    <w:rsid w:val="0069124D"/>
    <w:rsid w:val="00694181"/>
    <w:rsid w:val="006A36B0"/>
    <w:rsid w:val="006B372C"/>
    <w:rsid w:val="006C46FA"/>
    <w:rsid w:val="00701430"/>
    <w:rsid w:val="00703145"/>
    <w:rsid w:val="007218E4"/>
    <w:rsid w:val="00725843"/>
    <w:rsid w:val="00736097"/>
    <w:rsid w:val="00736B45"/>
    <w:rsid w:val="0075253D"/>
    <w:rsid w:val="007528AA"/>
    <w:rsid w:val="00757A2A"/>
    <w:rsid w:val="00765079"/>
    <w:rsid w:val="00786047"/>
    <w:rsid w:val="0079071F"/>
    <w:rsid w:val="007911AC"/>
    <w:rsid w:val="007A54B1"/>
    <w:rsid w:val="007C4068"/>
    <w:rsid w:val="007E0B52"/>
    <w:rsid w:val="00817A8B"/>
    <w:rsid w:val="00846551"/>
    <w:rsid w:val="00846849"/>
    <w:rsid w:val="008565C8"/>
    <w:rsid w:val="00860F4E"/>
    <w:rsid w:val="00861235"/>
    <w:rsid w:val="008754BA"/>
    <w:rsid w:val="00875FE3"/>
    <w:rsid w:val="00884F47"/>
    <w:rsid w:val="0089012F"/>
    <w:rsid w:val="008A0283"/>
    <w:rsid w:val="008A08E0"/>
    <w:rsid w:val="008A72AE"/>
    <w:rsid w:val="008B5C05"/>
    <w:rsid w:val="008B7974"/>
    <w:rsid w:val="008C25B7"/>
    <w:rsid w:val="008D54A7"/>
    <w:rsid w:val="008E0D74"/>
    <w:rsid w:val="008E41EC"/>
    <w:rsid w:val="008E742A"/>
    <w:rsid w:val="00910AAC"/>
    <w:rsid w:val="00930BCD"/>
    <w:rsid w:val="00935B0B"/>
    <w:rsid w:val="0094285C"/>
    <w:rsid w:val="00943CC7"/>
    <w:rsid w:val="00944D7D"/>
    <w:rsid w:val="00953276"/>
    <w:rsid w:val="009532BA"/>
    <w:rsid w:val="00975494"/>
    <w:rsid w:val="00987E8E"/>
    <w:rsid w:val="009A1AC4"/>
    <w:rsid w:val="009B0BD9"/>
    <w:rsid w:val="009E6114"/>
    <w:rsid w:val="00A4382C"/>
    <w:rsid w:val="00A60659"/>
    <w:rsid w:val="00A663DD"/>
    <w:rsid w:val="00A66A56"/>
    <w:rsid w:val="00A7267A"/>
    <w:rsid w:val="00A73213"/>
    <w:rsid w:val="00A768BE"/>
    <w:rsid w:val="00A804F9"/>
    <w:rsid w:val="00A826CA"/>
    <w:rsid w:val="00A83300"/>
    <w:rsid w:val="00A865D9"/>
    <w:rsid w:val="00AB71A9"/>
    <w:rsid w:val="00AD0559"/>
    <w:rsid w:val="00AE6CF0"/>
    <w:rsid w:val="00B0343A"/>
    <w:rsid w:val="00B11FDA"/>
    <w:rsid w:val="00B4205B"/>
    <w:rsid w:val="00B45BCE"/>
    <w:rsid w:val="00B524F1"/>
    <w:rsid w:val="00B55DC7"/>
    <w:rsid w:val="00B93E6B"/>
    <w:rsid w:val="00B96B1B"/>
    <w:rsid w:val="00BB1D4D"/>
    <w:rsid w:val="00BB21B5"/>
    <w:rsid w:val="00BB241A"/>
    <w:rsid w:val="00BB5D05"/>
    <w:rsid w:val="00BC5B97"/>
    <w:rsid w:val="00BC790D"/>
    <w:rsid w:val="00BD452D"/>
    <w:rsid w:val="00BD7FE2"/>
    <w:rsid w:val="00BF5752"/>
    <w:rsid w:val="00C02C77"/>
    <w:rsid w:val="00C169C6"/>
    <w:rsid w:val="00C17C2B"/>
    <w:rsid w:val="00C2685D"/>
    <w:rsid w:val="00C524D8"/>
    <w:rsid w:val="00C5284E"/>
    <w:rsid w:val="00C60EDB"/>
    <w:rsid w:val="00C74436"/>
    <w:rsid w:val="00C851DC"/>
    <w:rsid w:val="00C95C39"/>
    <w:rsid w:val="00C97A98"/>
    <w:rsid w:val="00CA1FBD"/>
    <w:rsid w:val="00CB079B"/>
    <w:rsid w:val="00CC4376"/>
    <w:rsid w:val="00CC43BA"/>
    <w:rsid w:val="00CC5FB3"/>
    <w:rsid w:val="00CD2F6D"/>
    <w:rsid w:val="00CE2159"/>
    <w:rsid w:val="00D016D8"/>
    <w:rsid w:val="00D14F87"/>
    <w:rsid w:val="00D2781A"/>
    <w:rsid w:val="00D27E58"/>
    <w:rsid w:val="00D43849"/>
    <w:rsid w:val="00D51E1C"/>
    <w:rsid w:val="00D5302E"/>
    <w:rsid w:val="00D6395F"/>
    <w:rsid w:val="00D71CF0"/>
    <w:rsid w:val="00D84EB3"/>
    <w:rsid w:val="00D9054A"/>
    <w:rsid w:val="00D9127D"/>
    <w:rsid w:val="00DB3B0A"/>
    <w:rsid w:val="00DC07FF"/>
    <w:rsid w:val="00DD75F5"/>
    <w:rsid w:val="00DE0A4C"/>
    <w:rsid w:val="00DE5B3B"/>
    <w:rsid w:val="00DF7BE7"/>
    <w:rsid w:val="00E262D6"/>
    <w:rsid w:val="00E26EED"/>
    <w:rsid w:val="00E30ABB"/>
    <w:rsid w:val="00E335C1"/>
    <w:rsid w:val="00E4041E"/>
    <w:rsid w:val="00E55839"/>
    <w:rsid w:val="00E77CAB"/>
    <w:rsid w:val="00E800BA"/>
    <w:rsid w:val="00E87942"/>
    <w:rsid w:val="00E90F41"/>
    <w:rsid w:val="00E928EF"/>
    <w:rsid w:val="00EA4CB9"/>
    <w:rsid w:val="00EB048B"/>
    <w:rsid w:val="00EC15C1"/>
    <w:rsid w:val="00ED1F45"/>
    <w:rsid w:val="00EE5E40"/>
    <w:rsid w:val="00F06689"/>
    <w:rsid w:val="00F07494"/>
    <w:rsid w:val="00F17A22"/>
    <w:rsid w:val="00F234F8"/>
    <w:rsid w:val="00F42B9C"/>
    <w:rsid w:val="00F47CE2"/>
    <w:rsid w:val="00F53BB2"/>
    <w:rsid w:val="00FA164E"/>
    <w:rsid w:val="00FA3B9E"/>
    <w:rsid w:val="00FB1CCB"/>
    <w:rsid w:val="00FB706A"/>
    <w:rsid w:val="00FD4699"/>
    <w:rsid w:val="00FD5004"/>
    <w:rsid w:val="00FE6C25"/>
    <w:rsid w:val="00FE7D20"/>
    <w:rsid w:val="00FF08A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6C3D4"/>
  <w15:chartTrackingRefBased/>
  <w15:docId w15:val="{68163227-AA54-4253-B9FE-EF277B3E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860F4E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1879E1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1879E1"/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5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752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752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365FED6EA3485C994E774177CB8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B0293-9069-4713-BB38-095D45F20D28}"/>
      </w:docPartPr>
      <w:docPartBody>
        <w:p w:rsidR="000A6B4D" w:rsidRDefault="00450FCD">
          <w:r w:rsidRPr="00F908A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CD"/>
    <w:rsid w:val="000A6B4D"/>
    <w:rsid w:val="00450FCD"/>
    <w:rsid w:val="007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FC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F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BA93749351D2F843A36296955CF57A87" ma:contentTypeVersion="16" ma:contentTypeDescription="Create a new document." ma:contentTypeScope="" ma:versionID="c4ef73400446e57c930e0ecafee92863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65F1F92071475276E05315230A0A9CBF" version="1.0.0">
  <systemFields>
    <field name="Objective-Id">
      <value order="0">A26793758</value>
    </field>
    <field name="Objective-Title">
      <value order="0">document 2 dg 19 03 21 table Proposed deletions in Western Australia to remove overlap with the Dangerous Goods Safety Act 2004 000031.Shannon.ZAVEC copy</value>
    </field>
    <field name="Objective-Description">
      <value order="0"/>
    </field>
    <field name="Objective-CreationStamp">
      <value order="0">2019-03-21T00:51:54Z</value>
    </field>
    <field name="Objective-IsApproved">
      <value order="0">false</value>
    </field>
    <field name="Objective-IsPublished">
      <value order="0">true</value>
    </field>
    <field name="Objective-DatePublished">
      <value order="0">2019-04-09T04:16:40Z</value>
    </field>
    <field name="Objective-ModificationStamp">
      <value order="0">2019-04-09T04:16:40Z</value>
    </field>
    <field name="Objective-Owner">
      <value order="0">MITCHELL, Bill</value>
    </field>
    <field name="Objective-Path">
      <value order="0">Global Folder:'DMIRS:Safety Regulation:zWorkSafe:Policy &amp; Education Directorate:Policy Branch:Government Relations:Policy:Development of Work Health and Safety Regulations</value>
    </field>
    <field name="Objective-Parent">
      <value order="0">Development of Work Health and Safety Regulations</value>
    </field>
    <field name="Objective-State">
      <value order="0">Published</value>
    </field>
    <field name="Objective-VersionId">
      <value order="0">vA28549678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qA1061351</value>
    </field>
    <field name="Objective-Classification">
      <value order="0"/>
    </field>
    <field name="Objective-Caveats">
      <value order="0"/>
    </field>
  </systemFields>
  <catalogues>
    <catalogue name="Divisional Document Type Catalogue" type="type" ori="id:cA39">
      <field name="Objective-External Reference">
        <value order="0"/>
      </field>
      <field name="Objective-TRIM Record Number">
        <value order="0"/>
      </field>
      <field name="Objective-Foreign Barcode">
        <value order="0"/>
      </field>
      <field name="Objective-Date of Document">
        <value order="0"/>
      </field>
      <field name="Objective-Author">
        <value order="0"/>
      </field>
      <field name="Objective-Archive Box">
        <value order="0"/>
      </field>
      <field name="Objective-Divisional Document Types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002734.safety.comms</OurDocsDocId>
    <OurDocsVersionCreatedBy xmlns="dce3ed02-b0cd-470d-9119-e5f1a2533a21">MIRSDBN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2019-07-28T16:00:00+00:00</OurDocsDocumentDate>
    <OurDocsVersionCreatedAt xmlns="dce3ed02-b0cd-470d-9119-e5f1a2533a21">2019-07-29T03:12:07+00:00</OurDocsVersionCreatedAt>
    <OurDocsReleaseClassification xmlns="dce3ed02-b0cd-470d-9119-e5f1a2533a21">Departmental Use Only</OurDocsReleaseClassification>
    <OurDocsTitle xmlns="dce3ed02-b0cd-470d-9119-e5f1a2533a21">7. Proposed deletions in WA to remove overlap with DGSA</OurDocsTitle>
    <OurDocsLocation xmlns="dce3ed02-b0cd-470d-9119-e5f1a2533a21">Perth</OurDocsLocation>
    <OurDocsDescription xmlns="dce3ed02-b0cd-470d-9119-e5f1a2533a21">For 23 August upload</OurDocsDescription>
    <OurDocsVersionReason xmlns="dce3ed02-b0cd-470d-9119-e5f1a2533a21" xsi:nil="true"/>
    <OurDocsAuthor xmlns="dce3ed02-b0cd-470d-9119-e5f1a2533a21">Bill Mitchell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5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1B25-C497-4A83-83B0-5AD2D2BFA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3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5.xml><?xml version="1.0" encoding="utf-8"?>
<ds:datastoreItem xmlns:ds="http://schemas.openxmlformats.org/officeDocument/2006/customXml" ds:itemID="{FD8DBCA5-578A-47BB-A528-64509AC8E9C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55CE43E-0D32-4F7B-9624-F980B525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5205F063</Template>
  <TotalTime>0</TotalTime>
  <Pages>1</Pages>
  <Words>563</Words>
  <Characters>3048</Characters>
  <Application>Microsoft Office Word</Application>
  <DocSecurity>0</DocSecurity>
  <Lines>121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 Proposed deletions in WA to remove overlap with DGSA</vt:lpstr>
    </vt:vector>
  </TitlesOfParts>
  <Company>Department of Mines and Petroleum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Proposed deletions in WA to remove overlap with DGSA</dc:title>
  <dc:subject>For reference only</dc:subject>
  <dc:creator>Department of Mines;Industry Regulation and Safety</dc:creator>
  <cp:keywords/>
  <dc:description/>
  <cp:lastModifiedBy>STAIN, Lin</cp:lastModifiedBy>
  <cp:revision>3</cp:revision>
  <cp:lastPrinted>2015-09-24T03:11:00Z</cp:lastPrinted>
  <dcterms:created xsi:type="dcterms:W3CDTF">2019-08-23T04:31:00Z</dcterms:created>
  <dcterms:modified xsi:type="dcterms:W3CDTF">2019-08-23T04:31:00Z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0x0101000AC6246A9CD2FC45B52DC6FEC0F0AAAA00BA93749351D2F843A36296955CF57A87</vt:lpwstr>
  </property>
  <property fmtid="{D5CDD505-2E9C-101B-9397-08002B2CF9AE}" pid="3" name="DataStore">
    <vt:lpwstr>Central</vt:lpwstr>
  </property>
  <property fmtid="{D5CDD505-2E9C-101B-9397-08002B2CF9AE}" pid="4" name="Objective-Id">
    <vt:lpwstr>A26793758</vt:lpwstr>
  </property>
  <property fmtid="{D5CDD505-2E9C-101B-9397-08002B2CF9AE}" pid="5" name="Objective-Title">
    <vt:lpwstr>document 2 dg 19 03 21 table Proposed deletions in Western Australia to remove overlap with the Dangerous Goods Safety Act 2004 000031.Shannon.ZAVEC copy</vt:lpwstr>
  </property>
  <property fmtid="{D5CDD505-2E9C-101B-9397-08002B2CF9AE}" pid="6" name="Objective-Description">
    <vt:lpwstr/>
  </property>
  <property fmtid="{D5CDD505-2E9C-101B-9397-08002B2CF9AE}" pid="7" name="Objective-CreationStamp">
    <vt:filetime>2019-04-09T04:16:39Z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2019-04-09T04:16:40Z</vt:filetime>
  </property>
  <property fmtid="{D5CDD505-2E9C-101B-9397-08002B2CF9AE}" pid="11" name="Objective-ModificationStamp">
    <vt:filetime>2019-04-09T04:16:53Z</vt:filetime>
  </property>
  <property fmtid="{D5CDD505-2E9C-101B-9397-08002B2CF9AE}" pid="12" name="Objective-Owner">
    <vt:lpwstr>MITCHELL, Bill</vt:lpwstr>
  </property>
  <property fmtid="{D5CDD505-2E9C-101B-9397-08002B2CF9AE}" pid="13" name="Objective-Path">
    <vt:lpwstr>Global Folder:'DMIRS:Safety Regulation:zWorkSafe:Policy &amp; Education Directorate:Policy Branch:Government Relations:Policy:Development of Work Health and Safety Regulations:</vt:lpwstr>
  </property>
  <property fmtid="{D5CDD505-2E9C-101B-9397-08002B2CF9AE}" pid="14" name="Objective-Parent">
    <vt:lpwstr>Development of Work Health and Safety Regulations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vA28549678</vt:lpwstr>
  </property>
  <property fmtid="{D5CDD505-2E9C-101B-9397-08002B2CF9AE}" pid="17" name="Objective-Version">
    <vt:lpwstr>1.0</vt:lpwstr>
  </property>
  <property fmtid="{D5CDD505-2E9C-101B-9397-08002B2CF9AE}" pid="18" name="Objective-VersionNumber">
    <vt:r8>1</vt:r8>
  </property>
  <property fmtid="{D5CDD505-2E9C-101B-9397-08002B2CF9AE}" pid="19" name="Objective-VersionComment">
    <vt:lpwstr>Copied from document A26539657.1</vt:lpwstr>
  </property>
  <property fmtid="{D5CDD505-2E9C-101B-9397-08002B2CF9AE}" pid="20" name="Objective-FileNumber">
    <vt:lpwstr>WS0555/2018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External Reference">
    <vt:lpwstr/>
  </property>
  <property fmtid="{D5CDD505-2E9C-101B-9397-08002B2CF9AE}" pid="24" name="Objective-TRIM Record Number">
    <vt:lpwstr/>
  </property>
  <property fmtid="{D5CDD505-2E9C-101B-9397-08002B2CF9AE}" pid="25" name="Objective-Foreign Barcode">
    <vt:lpwstr/>
  </property>
  <property fmtid="{D5CDD505-2E9C-101B-9397-08002B2CF9AE}" pid="26" name="Objective-Date of Document">
    <vt:lpwstr/>
  </property>
  <property fmtid="{D5CDD505-2E9C-101B-9397-08002B2CF9AE}" pid="27" name="Objective-Author">
    <vt:lpwstr/>
  </property>
  <property fmtid="{D5CDD505-2E9C-101B-9397-08002B2CF9AE}" pid="28" name="Objective-Archive Box">
    <vt:lpwstr/>
  </property>
  <property fmtid="{D5CDD505-2E9C-101B-9397-08002B2CF9AE}" pid="29" name="Objective-Divisional Document Types">
    <vt:lpwstr/>
  </property>
  <property fmtid="{D5CDD505-2E9C-101B-9397-08002B2CF9AE}" pid="30" name="Objective-Comment">
    <vt:lpwstr/>
  </property>
  <property fmtid="{D5CDD505-2E9C-101B-9397-08002B2CF9AE}" pid="31" name="Objective-Divisional Document Types [system]">
    <vt:lpwstr/>
  </property>
  <property fmtid="{D5CDD505-2E9C-101B-9397-08002B2CF9AE}" pid="32" name="Objective-Author [system]">
    <vt:lpwstr/>
  </property>
  <property fmtid="{D5CDD505-2E9C-101B-9397-08002B2CF9AE}" pid="33" name="Objective-Date of Document [system]">
    <vt:lpwstr/>
  </property>
  <property fmtid="{D5CDD505-2E9C-101B-9397-08002B2CF9AE}" pid="34" name="Objective-External Reference [system]">
    <vt:lpwstr/>
  </property>
  <property fmtid="{D5CDD505-2E9C-101B-9397-08002B2CF9AE}" pid="35" name="Objective-Archive Box [system]">
    <vt:lpwstr/>
  </property>
  <property fmtid="{D5CDD505-2E9C-101B-9397-08002B2CF9AE}" pid="36" name="Objective-TRIM Record Number [system]">
    <vt:lpwstr/>
  </property>
  <property fmtid="{D5CDD505-2E9C-101B-9397-08002B2CF9AE}" pid="37" name="Objective-Foreign Barcode [system]">
    <vt:lpwstr/>
  </property>
</Properties>
</file>